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8F56" w14:textId="77777777" w:rsidR="00634207" w:rsidRDefault="00D01A26" w:rsidP="00E44EC4">
      <w:pPr>
        <w:pStyle w:val="SectionIntro"/>
        <w:jc w:val="left"/>
      </w:pPr>
      <w:r>
        <w:t xml:space="preserve">IO-005:  DOD Digital </w:t>
      </w:r>
      <w:proofErr w:type="spellStart"/>
      <w:r>
        <w:t>OnRamp</w:t>
      </w:r>
      <w:proofErr w:type="spellEnd"/>
      <w:r>
        <w:t xml:space="preserve"> AI Tools</w:t>
      </w:r>
    </w:p>
    <w:p w14:paraId="4F538F1D" w14:textId="77777777" w:rsidR="00634207" w:rsidRDefault="00D01A26" w:rsidP="00E44EC4">
      <w:pPr>
        <w:jc w:val="left"/>
      </w:pPr>
      <w:r>
        <w:rPr>
          <w:rStyle w:val="DataIntroduction"/>
        </w:rPr>
        <w:t>Background &amp; Problem Statement</w:t>
      </w:r>
    </w:p>
    <w:p w14:paraId="5629E3DC" w14:textId="77777777" w:rsidR="00C736F1" w:rsidRDefault="00D01A26" w:rsidP="00E44EC4">
      <w:pPr>
        <w:spacing w:after="0"/>
        <w:jc w:val="left"/>
      </w:pPr>
      <w:r>
        <w:t>Current approaches for discovering opportunities within the Department of Defense (DoD) require the manual navigation of multiple websites, organizations, and related environments to make partial sense of the complexity. The level of effort required by private sector and Government organizations to identify mutually beneficial opportunities is a significant barrier to acquisition decisions.</w:t>
      </w:r>
    </w:p>
    <w:p w14:paraId="1F5DA214" w14:textId="77777777" w:rsidR="00C736F1" w:rsidRDefault="00D01A26" w:rsidP="00E44EC4">
      <w:pPr>
        <w:spacing w:after="0"/>
        <w:jc w:val="left"/>
      </w:pPr>
      <w:r>
        <w:cr/>
        <w:t xml:space="preserve">AI Tools have been transformative for many organizations. AI Tools can enable faster discovery, and summarization, and focus the navigation of relevant information. However, AI Tools that are generic, narrowly trained, or not grounded with actionable information often provide unrelated, incomplete, or speculative information to users. </w:t>
      </w:r>
      <w:r>
        <w:cr/>
      </w:r>
    </w:p>
    <w:p w14:paraId="6313CA72" w14:textId="77777777" w:rsidR="00C736F1" w:rsidRDefault="00D01A26" w:rsidP="00E44EC4">
      <w:pPr>
        <w:spacing w:after="0"/>
        <w:jc w:val="left"/>
      </w:pPr>
      <w:r>
        <w:t>AI Tools that provide grounded, accurate, and trustworthy information are a priority for consideration.</w:t>
      </w:r>
      <w:r>
        <w:cr/>
        <w:t xml:space="preserve">Government-specific use cases for AI Tools are unique from commercial approaches and requirements. Specifically, Government-proprietary information requires fine grained access controls that must consider additional overlays for the interpretation of information (in whole or part).  The Government seeks to implement a solution providing granular control, restricting AI-generated outputs to only what an individual is authorized to view, which is beyond what is currently offered commercially.  AI Tools that can address Government requirements for enforcement of National Security Information regarding “need to know” and “classification by compilation” controls are of interest.  </w:t>
      </w:r>
    </w:p>
    <w:p w14:paraId="03B4556F" w14:textId="77777777" w:rsidR="00C736F1" w:rsidRDefault="00D01A26" w:rsidP="00E44EC4">
      <w:pPr>
        <w:spacing w:after="0"/>
        <w:jc w:val="left"/>
      </w:pPr>
      <w:r>
        <w:cr/>
        <w:t xml:space="preserve">The DIU Digital </w:t>
      </w:r>
      <w:proofErr w:type="spellStart"/>
      <w:r>
        <w:t>OnRamp</w:t>
      </w:r>
      <w:proofErr w:type="spellEnd"/>
      <w:r>
        <w:t xml:space="preserve"> Platform enables users to ask natural language questions of platform-connected AI Tools to obtain contextually relevant information that is contextually accurate, grounded to sources, and actionable for engagement. Multiple AI Tools are needed to enable the scaled discovery of commercial-, private-, and Government-proprietary information.</w:t>
      </w:r>
      <w:r>
        <w:cr/>
      </w:r>
    </w:p>
    <w:p w14:paraId="477B349E" w14:textId="77777777" w:rsidR="00C736F1" w:rsidRDefault="00D01A26" w:rsidP="00E44EC4">
      <w:pPr>
        <w:spacing w:after="0"/>
        <w:jc w:val="left"/>
      </w:pPr>
      <w:r>
        <w:t xml:space="preserve">The following are EXAMPLES of AI Tools capabilities sought for the DIU Digital </w:t>
      </w:r>
      <w:proofErr w:type="spellStart"/>
      <w:r>
        <w:t>OnRamp</w:t>
      </w:r>
      <w:proofErr w:type="spellEnd"/>
      <w:r>
        <w:t>:</w:t>
      </w:r>
      <w:r>
        <w:cr/>
      </w:r>
      <w:r w:rsidR="000D7D93">
        <w:tab/>
      </w:r>
      <w:r>
        <w:t>•Industry discovery of Government Requests for Proposal (RFP).</w:t>
      </w:r>
      <w:r>
        <w:cr/>
      </w:r>
      <w:r w:rsidR="000D7D93">
        <w:tab/>
      </w:r>
      <w:r>
        <w:t xml:space="preserve">•Industry discovery of Government Requests for Solutions (RFS), or other broad area </w:t>
      </w:r>
      <w:r w:rsidR="000D7D93">
        <w:tab/>
      </w:r>
      <w:r>
        <w:t>announcements of Government need.</w:t>
      </w:r>
      <w:r>
        <w:cr/>
      </w:r>
      <w:r w:rsidR="000D7D93">
        <w:tab/>
      </w:r>
      <w:r>
        <w:t xml:space="preserve">•Tutorial information to help Industry partners understand and navigate Government processes, </w:t>
      </w:r>
      <w:r w:rsidR="000D7D93">
        <w:tab/>
      </w:r>
      <w:r>
        <w:t>organizations, and regulations.</w:t>
      </w:r>
      <w:r>
        <w:cr/>
      </w:r>
      <w:r w:rsidR="000D7D93">
        <w:tab/>
      </w:r>
      <w:r>
        <w:t xml:space="preserve">•Industry discovery of Government organizations for support/engagement (e.g. geographically </w:t>
      </w:r>
      <w:r w:rsidR="000D7D93">
        <w:tab/>
      </w:r>
      <w:r>
        <w:t>relevant locations, etc.)</w:t>
      </w:r>
      <w:r>
        <w:cr/>
      </w:r>
      <w:r w:rsidR="000D7D93">
        <w:tab/>
      </w:r>
      <w:r>
        <w:t>•Government discovery of Suppliers of commercially available technologies.</w:t>
      </w:r>
      <w:r>
        <w:cr/>
      </w:r>
      <w:r w:rsidR="000D7D93">
        <w:tab/>
      </w:r>
      <w:r>
        <w:t>•Government discovery of Vendors with specific capabilities.</w:t>
      </w:r>
      <w:r>
        <w:cr/>
      </w:r>
    </w:p>
    <w:p w14:paraId="53A62034" w14:textId="383E421D" w:rsidR="00634207" w:rsidRDefault="00D01A26" w:rsidP="00E44EC4">
      <w:pPr>
        <w:spacing w:after="0"/>
        <w:jc w:val="left"/>
      </w:pPr>
      <w:r>
        <w:t xml:space="preserve">The following are EXAMPLES of Government-operated AI Tools capabilities for the DIU Digital </w:t>
      </w:r>
      <w:proofErr w:type="spellStart"/>
      <w:r>
        <w:t>OnRamp</w:t>
      </w:r>
      <w:proofErr w:type="spellEnd"/>
      <w:r>
        <w:t>:</w:t>
      </w:r>
      <w:r>
        <w:cr/>
      </w:r>
      <w:r w:rsidR="000D7D93">
        <w:tab/>
      </w:r>
      <w:r>
        <w:t>•Configurable foundation models and system prompts that can be aligned to specific information</w:t>
      </w:r>
      <w:r>
        <w:cr/>
      </w:r>
      <w:r w:rsidR="000D7D93">
        <w:tab/>
      </w:r>
      <w:r>
        <w:t>•Natural Language interface for structured queries into external data sources/systems</w:t>
      </w:r>
      <w:r>
        <w:cr/>
      </w:r>
      <w:r w:rsidR="000D7D93">
        <w:tab/>
      </w:r>
      <w:r>
        <w:t>•Summarization and generation of structured outputs</w:t>
      </w:r>
      <w:r>
        <w:cr/>
      </w:r>
      <w:r w:rsidR="000D7D93">
        <w:tab/>
      </w:r>
      <w:r>
        <w:t>•Interpretation of stored content and graphics</w:t>
      </w:r>
      <w:r>
        <w:cr/>
      </w:r>
      <w:r w:rsidR="000D7D93">
        <w:tab/>
      </w:r>
      <w:r>
        <w:t>•Contextual, semantic graph extraction</w:t>
      </w:r>
      <w:r>
        <w:cr/>
      </w:r>
      <w:r w:rsidR="000D7D93">
        <w:tab/>
      </w:r>
      <w:r>
        <w:t>•Recommendation engines (query/content alignment)</w:t>
      </w:r>
      <w:r>
        <w:cr/>
      </w:r>
      <w:r w:rsidR="005B0C01">
        <w:tab/>
      </w:r>
      <w:r>
        <w:t>•Safeguards or mechanisms that ensure AI operates within defined ethical/safety guidelines</w:t>
      </w:r>
      <w:r>
        <w:cr/>
      </w:r>
      <w:r>
        <w:cr/>
        <w:t>Notional Implementation Example:</w:t>
      </w:r>
      <w:r>
        <w:cr/>
      </w:r>
      <w:r>
        <w:lastRenderedPageBreak/>
        <w:t xml:space="preserve">The DIU Digital </w:t>
      </w:r>
      <w:proofErr w:type="spellStart"/>
      <w:r>
        <w:t>OnRamp</w:t>
      </w:r>
      <w:proofErr w:type="spellEnd"/>
      <w:r>
        <w:t xml:space="preserve"> Platform will facilitate user requests for information across diverse, connected and relevant AI Tools.  Each AI Tool provides all necessary and required capabilities to process retrievable information (e.g. parsing, object detection, etc. for documents, databases, etc.).  Each AI Tool delivers structured responses (including grounding citations and actionable links) of discovered relevant information to the DIU Digital </w:t>
      </w:r>
      <w:proofErr w:type="spellStart"/>
      <w:r>
        <w:t>OnRamp</w:t>
      </w:r>
      <w:proofErr w:type="spellEnd"/>
      <w:r>
        <w:t xml:space="preserve"> Platform. The Digital </w:t>
      </w:r>
      <w:proofErr w:type="spellStart"/>
      <w:r>
        <w:t>OnRamp</w:t>
      </w:r>
      <w:proofErr w:type="spellEnd"/>
      <w:r>
        <w:t xml:space="preserve"> Platform finally consolidates, summarizes, and contextualizes responses from AI Tool workflows for the user’s consideration and engagement.</w:t>
      </w:r>
      <w:r>
        <w:cr/>
      </w:r>
    </w:p>
    <w:p w14:paraId="272E4E79" w14:textId="77777777" w:rsidR="00634207" w:rsidRDefault="00D01A26" w:rsidP="00E44EC4">
      <w:pPr>
        <w:jc w:val="left"/>
      </w:pPr>
      <w:r>
        <w:rPr>
          <w:rStyle w:val="DataIntroduction"/>
        </w:rPr>
        <w:t>Desired Objectives</w:t>
      </w:r>
    </w:p>
    <w:p w14:paraId="2BB5CE7C" w14:textId="77777777" w:rsidR="00C736F1" w:rsidRDefault="00D01A26" w:rsidP="00E44EC4">
      <w:pPr>
        <w:jc w:val="left"/>
      </w:pPr>
      <w:r>
        <w:t xml:space="preserve">The Government seeks commercial AI Tools that can be selectively connected to the DIU Digital </w:t>
      </w:r>
      <w:proofErr w:type="spellStart"/>
      <w:r>
        <w:t>OnRamp</w:t>
      </w:r>
      <w:proofErr w:type="spellEnd"/>
      <w:r>
        <w:t xml:space="preserve"> Platform to provide relevant responses to natural language questions from users. Specifically, the Government is seeking capabilities that provide access to information for the following </w:t>
      </w:r>
      <w:r w:rsidR="00C736F1">
        <w:t>u</w:t>
      </w:r>
      <w:r>
        <w:t xml:space="preserve">se </w:t>
      </w:r>
      <w:r w:rsidR="00C736F1">
        <w:t>c</w:t>
      </w:r>
      <w:r>
        <w:t>ases:</w:t>
      </w:r>
      <w:r>
        <w:cr/>
      </w:r>
      <w:r w:rsidR="005B0C01">
        <w:tab/>
      </w:r>
      <w:r>
        <w:t xml:space="preserve">•Commercially Available Information – AI Tools that provide interfaces to current and actively </w:t>
      </w:r>
      <w:r w:rsidR="005B0C01">
        <w:tab/>
      </w:r>
      <w:r>
        <w:t xml:space="preserve">maintained commercial information (information that is available for a fee from a commercial </w:t>
      </w:r>
      <w:r w:rsidR="005B0C01">
        <w:tab/>
      </w:r>
      <w:r>
        <w:t>source).</w:t>
      </w:r>
      <w:r>
        <w:cr/>
      </w:r>
      <w:r w:rsidR="005B0C01">
        <w:tab/>
      </w:r>
      <w:r>
        <w:t xml:space="preserve">•Publicly Available Information – AI Tools that provide interfaces to current and actively </w:t>
      </w:r>
      <w:r w:rsidR="005B0C01">
        <w:tab/>
      </w:r>
      <w:r>
        <w:t xml:space="preserve">maintained publicly available information (information made broadly available to the general </w:t>
      </w:r>
      <w:r w:rsidR="005B0C01">
        <w:tab/>
      </w:r>
      <w:r>
        <w:t xml:space="preserve">public, including from Government and commercial entities); some data sources may be directly </w:t>
      </w:r>
      <w:r w:rsidR="005B0C01">
        <w:tab/>
      </w:r>
      <w:r>
        <w:t>specified by the Government for inclusion.</w:t>
      </w:r>
      <w:r>
        <w:cr/>
      </w:r>
      <w:r w:rsidR="005B0C01">
        <w:tab/>
      </w:r>
      <w:r>
        <w:t xml:space="preserve">•Government Hosted Information – AI Tools that can be Government-hosted/managed within </w:t>
      </w:r>
      <w:r w:rsidR="005B0C01">
        <w:tab/>
      </w:r>
      <w:r>
        <w:t xml:space="preserve">Government-approved environment(s) and enable the query of (non-public) proprietary </w:t>
      </w:r>
      <w:r w:rsidR="005B0C01">
        <w:tab/>
      </w:r>
      <w:r>
        <w:t>information for various Government purposes.</w:t>
      </w:r>
      <w:r>
        <w:cr/>
      </w:r>
    </w:p>
    <w:p w14:paraId="36CEB35E" w14:textId="77777777" w:rsidR="00C736F1" w:rsidRDefault="00D01A26" w:rsidP="00E44EC4">
      <w:pPr>
        <w:jc w:val="left"/>
      </w:pPr>
      <w:r>
        <w:t>For all AI Tools, the Government has the following overarching objectives:</w:t>
      </w:r>
      <w:r>
        <w:cr/>
      </w:r>
      <w:r w:rsidR="005B0C01">
        <w:tab/>
      </w:r>
      <w:r>
        <w:t>•Pricing: Provide fair and transparent pricing models for each Use Case.</w:t>
      </w:r>
      <w:r>
        <w:cr/>
      </w:r>
      <w:r w:rsidR="005B0C01">
        <w:tab/>
      </w:r>
      <w:r>
        <w:t xml:space="preserve">•Security &amp; Compliance: Provide effective safeguards, logging, and identity management. Tools </w:t>
      </w:r>
      <w:r w:rsidR="005B0C01">
        <w:tab/>
      </w:r>
      <w:r>
        <w:t>must adhere to DoD Cybersecurity and Responsible AI (RAI) guidelines.</w:t>
      </w:r>
      <w:r>
        <w:cr/>
      </w:r>
      <w:r w:rsidR="005B0C01">
        <w:tab/>
      </w:r>
      <w:r>
        <w:t xml:space="preserve">•Performance &amp; Integration: Must be performant, scalable (up and down), well-documented, and </w:t>
      </w:r>
      <w:r w:rsidR="005B0C01">
        <w:tab/>
      </w:r>
      <w:r>
        <w:t>require only low-code or no-code for deployment, operation, and management.</w:t>
      </w:r>
      <w:r>
        <w:cr/>
      </w:r>
      <w:r w:rsidR="005B0C01">
        <w:tab/>
      </w:r>
      <w:r>
        <w:t>•Data Rights: Retain rights and control over data in three distinct categories:</w:t>
      </w:r>
      <w:r>
        <w:cr/>
      </w:r>
      <w:r w:rsidR="005B0C01">
        <w:tab/>
      </w:r>
      <w:r w:rsidR="005B0C01">
        <w:tab/>
      </w:r>
      <w:r w:rsidR="002D43D8" w:rsidRPr="002D43D8">
        <w:t>•</w:t>
      </w:r>
      <w:r>
        <w:t xml:space="preserve">Government Data: All data provided by the Government to the AI Tool remains the </w:t>
      </w:r>
      <w:r w:rsidR="005B0C01">
        <w:tab/>
      </w:r>
      <w:r w:rsidR="005B0C01">
        <w:tab/>
      </w:r>
      <w:r w:rsidR="005B0C01">
        <w:tab/>
      </w:r>
      <w:r>
        <w:t>exclusive property of the Government.</w:t>
      </w:r>
      <w:r>
        <w:cr/>
      </w:r>
      <w:r w:rsidR="005B0C01">
        <w:tab/>
      </w:r>
      <w:r w:rsidR="005B0C01">
        <w:tab/>
      </w:r>
      <w:r w:rsidR="002D43D8" w:rsidRPr="002D43D8">
        <w:t>•</w:t>
      </w:r>
      <w:r>
        <w:t xml:space="preserve">Transacted Data: Government retains ownership of all content, queries and responses </w:t>
      </w:r>
      <w:r w:rsidR="005B0C01">
        <w:tab/>
      </w:r>
      <w:r w:rsidR="005B0C01">
        <w:tab/>
      </w:r>
      <w:r w:rsidR="005B0C01">
        <w:tab/>
      </w:r>
      <w:r>
        <w:t xml:space="preserve">transacted with the AI Tool (excluding any private-sector proprietary information </w:t>
      </w:r>
      <w:r w:rsidR="005B0C01">
        <w:tab/>
      </w:r>
      <w:r w:rsidR="005B0C01">
        <w:tab/>
      </w:r>
      <w:r w:rsidR="005B0C01">
        <w:tab/>
      </w:r>
      <w:r>
        <w:t xml:space="preserve">uploaded by private-sector users to facilitate business development with the </w:t>
      </w:r>
      <w:r w:rsidR="005B0C01">
        <w:tab/>
      </w:r>
      <w:r w:rsidR="005B0C01">
        <w:tab/>
      </w:r>
      <w:r w:rsidR="005B0C01">
        <w:tab/>
      </w:r>
      <w:r w:rsidR="005B0C01">
        <w:tab/>
      </w:r>
      <w:r>
        <w:t>Government).</w:t>
      </w:r>
      <w:r>
        <w:cr/>
      </w:r>
      <w:r w:rsidR="009C14BD">
        <w:tab/>
      </w:r>
      <w:r w:rsidR="009C14BD">
        <w:tab/>
      </w:r>
      <w:r w:rsidR="002D43D8" w:rsidRPr="002D43D8">
        <w:t>•</w:t>
      </w:r>
      <w:r>
        <w:t xml:space="preserve">Vendor Proprietary Content: Clear Government usage and re-distribution rights for any </w:t>
      </w:r>
      <w:r w:rsidR="009C14BD">
        <w:tab/>
      </w:r>
      <w:r w:rsidR="009C14BD">
        <w:tab/>
      </w:r>
      <w:r w:rsidR="009C14BD">
        <w:tab/>
      </w:r>
      <w:r>
        <w:t xml:space="preserve">commercial or public data licensed by a vendor in connection with the AI Tool (for the </w:t>
      </w:r>
      <w:r w:rsidR="009C14BD">
        <w:tab/>
      </w:r>
      <w:r w:rsidR="009C14BD">
        <w:tab/>
      </w:r>
      <w:r w:rsidR="009C14BD">
        <w:tab/>
      </w:r>
      <w:r>
        <w:t xml:space="preserve">sole purpose of sustaining the Digital </w:t>
      </w:r>
      <w:proofErr w:type="spellStart"/>
      <w:r>
        <w:t>OnRamp</w:t>
      </w:r>
      <w:proofErr w:type="spellEnd"/>
      <w:r>
        <w:t xml:space="preserve"> other re-distribution excluded). </w:t>
      </w:r>
      <w:r>
        <w:cr/>
      </w:r>
      <w:r w:rsidR="009C14BD">
        <w:tab/>
      </w:r>
      <w:r w:rsidR="009C14BD">
        <w:tab/>
      </w:r>
      <w:r w:rsidR="002D43D8" w:rsidRPr="002D43D8">
        <w:t>•</w:t>
      </w:r>
      <w:r>
        <w:t xml:space="preserve">Government Ownership Rights: Any configurations, customization, and/or any work </w:t>
      </w:r>
      <w:r w:rsidR="009C14BD">
        <w:tab/>
      </w:r>
      <w:r w:rsidR="009C14BD">
        <w:tab/>
      </w:r>
      <w:r w:rsidR="009C14BD">
        <w:tab/>
      </w:r>
      <w:r>
        <w:t xml:space="preserve">performed on top of the AI Tool solution, its modules, and components shall be provided </w:t>
      </w:r>
      <w:r w:rsidR="009C14BD">
        <w:tab/>
      </w:r>
      <w:r w:rsidR="009C14BD">
        <w:tab/>
      </w:r>
      <w:r w:rsidR="009C14BD">
        <w:tab/>
      </w:r>
      <w:r>
        <w:t xml:space="preserve">to the Government with Government Ownership Rights.  </w:t>
      </w:r>
      <w:r>
        <w:cr/>
      </w:r>
      <w:r w:rsidR="00E078AC">
        <w:tab/>
      </w:r>
      <w:r>
        <w:t xml:space="preserve">•Risk Reduction: Ensure long-term stability and modularity of substitutions via non-proprietary, </w:t>
      </w:r>
      <w:r w:rsidR="00E078AC">
        <w:tab/>
      </w:r>
      <w:r>
        <w:t>open API interface-contracts.</w:t>
      </w:r>
      <w:r>
        <w:cr/>
      </w:r>
    </w:p>
    <w:p w14:paraId="1F636210" w14:textId="77777777" w:rsidR="00C736F1" w:rsidRDefault="00D01A26" w:rsidP="00E44EC4">
      <w:pPr>
        <w:spacing w:after="0"/>
        <w:jc w:val="left"/>
      </w:pPr>
      <w:r>
        <w:t xml:space="preserve">For AI Tools that enable access to Commercially Available Information, the Government seeks fair, consumption-based (utility) pricing for queries, responses, and/or content transactions executed by the </w:t>
      </w:r>
      <w:r>
        <w:lastRenderedPageBreak/>
        <w:t xml:space="preserve">DIU Digital </w:t>
      </w:r>
      <w:proofErr w:type="spellStart"/>
      <w:r>
        <w:t>OnRamp</w:t>
      </w:r>
      <w:proofErr w:type="spellEnd"/>
      <w:r>
        <w:t xml:space="preserve"> Platform.</w:t>
      </w:r>
      <w:r>
        <w:cr/>
      </w:r>
    </w:p>
    <w:p w14:paraId="3A91163B" w14:textId="77777777" w:rsidR="00C736F1" w:rsidRDefault="00D01A26" w:rsidP="00E44EC4">
      <w:pPr>
        <w:spacing w:after="0"/>
        <w:jc w:val="left"/>
      </w:pPr>
      <w:r>
        <w:t xml:space="preserve">For AI Tools that enable access to Publicly Available Information, the Government seeks fair, consumption-based (utility) pricing for queries, responses, and/or content transactions executed by the DIU Digital </w:t>
      </w:r>
      <w:proofErr w:type="spellStart"/>
      <w:r>
        <w:t>OnRamp</w:t>
      </w:r>
      <w:proofErr w:type="spellEnd"/>
      <w:r>
        <w:t xml:space="preserve"> Platform. This may include optional Government-specified sources for inclusion which may require resources to facilitate routine import and tuning of relevant data (e.g. Websites, Portable Document Format (PDFs), Comma-Separated Values (CSVs), JavaScript Object Notation (JSON), etc.).</w:t>
      </w:r>
      <w:r>
        <w:cr/>
        <w:t xml:space="preserve">For AI Tools that enable access to Government Hosted Information, the Government seeks firm-fixed subscription/license pricing options for AI Tools that are Government-operated, or by Government performers, within a </w:t>
      </w:r>
      <w:proofErr w:type="gramStart"/>
      <w:r>
        <w:t>Government</w:t>
      </w:r>
      <w:proofErr w:type="gramEnd"/>
      <w:r>
        <w:t xml:space="preserve"> approved environment. AI Tools must be actively maintained, documented, and compliant with current DoD software policies/practices and only use implementations that are Government-approved. AI Tools must be configurable to support Government use cases and support multiple data connection formats (e.g. Structured Query Language (SQL), Object Stores, etc.) and ingest formats (e.g. CSV, PDF, PowerPoint, Word Documents, Text Documents, JSON, Images, etc.) with appropriate processing as applicable (e.g. Optical Character Recognition (OCR), etc.). AI tools shall specifically enable selection and configuration of foundation models, with the ability to align/tune system prompts, when applicable, to better align capabilities to Government data and use cases. AI Tools should be developed in accordance with current DoD </w:t>
      </w:r>
      <w:proofErr w:type="spellStart"/>
      <w:r>
        <w:t>DevSecOps</w:t>
      </w:r>
      <w:proofErr w:type="spellEnd"/>
      <w:r>
        <w:t xml:space="preserve"> practices and delivered as portable and configurable capabilities that are deployed using Infrastructure as Code / Configuration as Code (</w:t>
      </w:r>
      <w:proofErr w:type="spellStart"/>
      <w:r>
        <w:t>IaC</w:t>
      </w:r>
      <w:proofErr w:type="spellEnd"/>
      <w:r>
        <w:t>/</w:t>
      </w:r>
      <w:proofErr w:type="spellStart"/>
      <w:r>
        <w:t>CaC</w:t>
      </w:r>
      <w:proofErr w:type="spellEnd"/>
      <w:r>
        <w:t>) that clearly document required resource requirements and dependencies. AI Tools must also provide a Service Level Agreement (SLA) for approved deployment configurations.</w:t>
      </w:r>
      <w:r>
        <w:cr/>
      </w:r>
      <w:r>
        <w:cr/>
        <w:t>For all deployments, Government seeks AI Tools that provide effective and configurable safeguards and mechanisms to enforce ethical/safety guidelines for the scoping of responses, prevention of toxic prompts, jailbreaking attempts, and out of scope information requests (individual or within session context). AI Tools must provide effective mechanisms for logging and providing notifications related to these activities.</w:t>
      </w:r>
      <w:r>
        <w:cr/>
      </w:r>
      <w:r>
        <w:cr/>
        <w:t xml:space="preserve">Government seeks AI Tools that are performant, actively maintained, well documented and supported, and require low/no-code for deployment and/or configuration for connections to the DIU Digital </w:t>
      </w:r>
      <w:proofErr w:type="spellStart"/>
      <w:r>
        <w:t>OnRamp</w:t>
      </w:r>
      <w:proofErr w:type="spellEnd"/>
      <w:r>
        <w:t xml:space="preserve">. </w:t>
      </w:r>
      <w:r>
        <w:cr/>
      </w:r>
      <w:r>
        <w:cr/>
        <w:t>To date, Large Language Model (LLM) alignment-training based mechanisms are not perfect enough to satisfy Government unique requirements for controlling access to relevant information that may be public in nature or proprietary to Government agencies. The Government proposes one viable solution, where access is controlled during the “retrieval” stage of Retrieval-Augmented Generation (RAG), not during the “generation” stage. This requires multiple tools with access to, and skills relevant to, specific data sources. It also requires the tools to request and impersonate users’ credentials during retrieval.</w:t>
      </w:r>
    </w:p>
    <w:p w14:paraId="2A562569" w14:textId="77777777" w:rsidR="00C736F1" w:rsidRDefault="00D01A26" w:rsidP="00E44EC4">
      <w:pPr>
        <w:spacing w:after="0"/>
        <w:jc w:val="left"/>
      </w:pPr>
      <w:r>
        <w:cr/>
        <w:t>In order to prevent compilation of information through summarization and reasoning over disparate data sets to reveal privileged information beyond a user’s authorized information access and need-to-know, AI Tools must apply access management controls both on the front end – controlling access to the user interface – by supporting Government and Cloud Identity, Credential, and Access Management (ICAM) and authentication protocols, e.g., Open Authorization (OAUTH2), Security Assertion Markup Language 2.0 (SAML2), Managed Connectivity Provider (MCP), JSON web token (JWT), Mutual Transport Layer Security (</w:t>
      </w:r>
      <w:proofErr w:type="spellStart"/>
      <w:r>
        <w:t>mTLS</w:t>
      </w:r>
      <w:proofErr w:type="spellEnd"/>
      <w:r>
        <w:t>), etc., and on the back end – optimally using the user’s delegated authorities (using session-specific, time-bound, delegated authority through exchange of federated tokens) to retrieve external data, limiting retrieval to the scope of the user’s authorizations on the remote systems.</w:t>
      </w:r>
    </w:p>
    <w:p w14:paraId="36853ACB" w14:textId="6B0E9AD1" w:rsidR="00634207" w:rsidRDefault="00D01A26" w:rsidP="00E44EC4">
      <w:pPr>
        <w:spacing w:after="0"/>
        <w:jc w:val="left"/>
      </w:pPr>
      <w:r>
        <w:lastRenderedPageBreak/>
        <w:t xml:space="preserve"> </w:t>
      </w:r>
      <w:r>
        <w:cr/>
        <w:t xml:space="preserve">The DIU Digital </w:t>
      </w:r>
      <w:proofErr w:type="spellStart"/>
      <w:r>
        <w:t>OnRamp</w:t>
      </w:r>
      <w:proofErr w:type="spellEnd"/>
      <w:r>
        <w:t xml:space="preserve"> Platform (not the AI Tools) is responsible for eliciting (from the user client) and refreshing time-bounded delegation tokens on behalf of the tools to access third party data sources. Additionally, the tool Vendor cannot affect the third-party Policy Decision Points’ authorization policies. The requirement is to implement the use of provided delegation tokens, of whatever type, and use those to retrieve data at a level of least privilege, according to each user’s access entitlements.</w:t>
      </w:r>
      <w:r>
        <w:cr/>
      </w:r>
      <w:r>
        <w:cr/>
        <w:t xml:space="preserve">Government seeks AI Tools that provide structured, accurate, actionable responses to queries from the DIU Digital </w:t>
      </w:r>
      <w:proofErr w:type="spellStart"/>
      <w:r>
        <w:t>OnRamp</w:t>
      </w:r>
      <w:proofErr w:type="spellEnd"/>
      <w:r>
        <w:t>. Specifically, AI Tool responses should include relevant content, with accurate citations and hyperlinks to grounding information sources and supporting resources, such as proposal submission sites.</w:t>
      </w:r>
      <w:r>
        <w:cr/>
      </w:r>
      <w:r>
        <w:cr/>
        <w:t xml:space="preserve">Government seeks AI Tools that provide Government ownership rights and control over any information or data provided to, generated by, or transacted with the DIU Digital </w:t>
      </w:r>
      <w:proofErr w:type="spellStart"/>
      <w:r>
        <w:t>OnRamp</w:t>
      </w:r>
      <w:proofErr w:type="spellEnd"/>
      <w:r>
        <w:t xml:space="preserve"> Platform. Specifically, but not exhaustively: vendors that are provided information, including user prompts and generated response, via the DIU Digital </w:t>
      </w:r>
      <w:proofErr w:type="spellStart"/>
      <w:r>
        <w:t>OnRamp</w:t>
      </w:r>
      <w:proofErr w:type="spellEnd"/>
      <w:r>
        <w:t xml:space="preserve"> Platform shall not incorporate, share, or leverage such information or data in any manner, to include for commercial purposes, without express written permission from Government.</w:t>
      </w:r>
      <w:r>
        <w:cr/>
      </w:r>
      <w:r>
        <w:cr/>
        <w:t xml:space="preserve">Government seeks AI Tools that </w:t>
      </w:r>
      <w:proofErr w:type="gramStart"/>
      <w:r>
        <w:t>are capable of adhering</w:t>
      </w:r>
      <w:proofErr w:type="gramEnd"/>
      <w:r>
        <w:t xml:space="preserve"> to DoD Cybersecurity and Responsible AI (RAI) policies and guidelines, provide access to transaction logs, and </w:t>
      </w:r>
      <w:proofErr w:type="gramStart"/>
      <w:r>
        <w:t>are able to</w:t>
      </w:r>
      <w:proofErr w:type="gramEnd"/>
      <w:r>
        <w:t xml:space="preserve"> report performance and usage metrics.</w:t>
      </w:r>
      <w:r>
        <w:cr/>
      </w:r>
      <w:r>
        <w:cr/>
        <w:t xml:space="preserve">The Government desires risk reduction for the contingency where any critical piece of AI Tool services becomes unavailable due to changing performer priorities, poor performance, or pricing disagreements. To provide this risk reduction, the Government requires AI Tool(s) features to be fully accessible through non-proprietary Application Programming Interface (API) contracts (e.g., software interfaces that will be perpetually respected) maintained stable throughout the lifetime of the products. The Government shall have perpetual rights to any tool interface definition (API contract standard) required to implement substitute AI Tools, or to extend the lifecycle beyond the end of the support period, at the Government’s discretion. Specifically, if a vendor has a proprietary interface, they may optionally wrap their API in an open API and the Government will retain perpetual rights and ownership of the open API. </w:t>
      </w:r>
      <w:r>
        <w:cr/>
      </w:r>
      <w:r>
        <w:cr/>
        <w:t xml:space="preserve">The Government seeks AI Tools that can be deployed and operated using Confidential Computing technologies, when available and enabled on the hosting hardware or services. Optimally, the Vendor should separate and minimize the Trusted Computing Base (TCB) for providing security-sensitive functions within their respective architecture. </w:t>
      </w:r>
      <w:proofErr w:type="gramStart"/>
      <w:r>
        <w:t>In particular, processing</w:t>
      </w:r>
      <w:proofErr w:type="gramEnd"/>
      <w:r>
        <w:t xml:space="preserve"> of authentication secrets should be isolated from unrelated software code and run in a secure enclave. Examples of secure confidential enclaves are Intel Security Guard Extensions (SGX), or Micro Virtual Machine (</w:t>
      </w:r>
      <w:proofErr w:type="spellStart"/>
      <w:r>
        <w:t>MicroVM</w:t>
      </w:r>
      <w:proofErr w:type="spellEnd"/>
      <w:r>
        <w:t>) running in a confidential domain/virtual machine (VM) hosted with Intel Trusted Domain Extensions (TDX), AMD Secure Encrypted Virtualization-Secure Nested Pages (SEV-SNP), or Azure Resource Manager (ARM) Confidential Computing Enforcement (CCE) when/ if that functionality is available on the platform.</w:t>
      </w:r>
      <w:r>
        <w:cr/>
      </w:r>
    </w:p>
    <w:p w14:paraId="302D587C" w14:textId="77777777" w:rsidR="00634207" w:rsidRDefault="00D01A26" w:rsidP="00E44EC4">
      <w:pPr>
        <w:jc w:val="left"/>
      </w:pPr>
      <w:r>
        <w:rPr>
          <w:rStyle w:val="DataIntroduction"/>
        </w:rPr>
        <w:t>Major Milestones &amp; Decision Points</w:t>
      </w:r>
    </w:p>
    <w:p w14:paraId="55D3C0B1" w14:textId="77777777" w:rsidR="00C736F1" w:rsidRDefault="00D01A26" w:rsidP="00E44EC4">
      <w:pPr>
        <w:jc w:val="left"/>
      </w:pPr>
      <w:r>
        <w:t>Per the Anticipated Funding, the first phase will be awarded a small amount of funding to perform the Technology Demonstration and awards will be made based on a White Paper response to the Request for Solution.  Following evaluations of the white paper response, down-select awards will be made to the MVP phase. Below is the estimated timeline:</w:t>
      </w:r>
      <w:r>
        <w:cr/>
      </w:r>
      <w:r>
        <w:lastRenderedPageBreak/>
        <w:cr/>
        <w:t>Phase 1 – Minimum Viable Product (MVP) – AI Tools:</w:t>
      </w:r>
    </w:p>
    <w:p w14:paraId="03082B65" w14:textId="77777777" w:rsidR="00C736F1" w:rsidRDefault="00D01A26" w:rsidP="00E44EC4">
      <w:pPr>
        <w:pStyle w:val="ListParagraph"/>
        <w:numPr>
          <w:ilvl w:val="0"/>
          <w:numId w:val="1"/>
        </w:numPr>
        <w:spacing w:after="0"/>
        <w:jc w:val="left"/>
      </w:pPr>
      <w:r>
        <w:t xml:space="preserve">Milestone 1a- Day 0:  Request </w:t>
      </w:r>
      <w:proofErr w:type="gramStart"/>
      <w:r>
        <w:t>For</w:t>
      </w:r>
      <w:proofErr w:type="gramEnd"/>
      <w:r>
        <w:t xml:space="preserve"> Solution (RFS) is publicly released.</w:t>
      </w:r>
    </w:p>
    <w:p w14:paraId="642AC47E" w14:textId="7314E0FC" w:rsidR="00C736F1" w:rsidRDefault="00D01A26" w:rsidP="00E44EC4">
      <w:pPr>
        <w:pStyle w:val="ListParagraph"/>
        <w:numPr>
          <w:ilvl w:val="0"/>
          <w:numId w:val="1"/>
        </w:numPr>
        <w:spacing w:after="0"/>
        <w:jc w:val="left"/>
      </w:pPr>
      <w:r>
        <w:t>Milestone 1b – Day 14:  Solution Paper responses are due from consortium members.</w:t>
      </w:r>
    </w:p>
    <w:p w14:paraId="7606F3E5" w14:textId="77777777" w:rsidR="00C736F1" w:rsidRDefault="00D01A26" w:rsidP="00E44EC4">
      <w:pPr>
        <w:pStyle w:val="ListParagraph"/>
        <w:numPr>
          <w:ilvl w:val="0"/>
          <w:numId w:val="1"/>
        </w:numPr>
        <w:spacing w:after="0"/>
        <w:jc w:val="left"/>
      </w:pPr>
      <w:r>
        <w:t xml:space="preserve">Milestone 1c – Day 28:  </w:t>
      </w:r>
      <w:proofErr w:type="spellStart"/>
      <w:r>
        <w:t>Downselect</w:t>
      </w:r>
      <w:proofErr w:type="spellEnd"/>
      <w:r>
        <w:t xml:space="preserve"> Notifications.  Selection notifications will be communicated to conduct a brief capability demonstration on performer’s system.</w:t>
      </w:r>
    </w:p>
    <w:p w14:paraId="5F2C5394" w14:textId="77777777" w:rsidR="00C736F1" w:rsidRDefault="00D01A26" w:rsidP="00E44EC4">
      <w:pPr>
        <w:pStyle w:val="ListParagraph"/>
        <w:numPr>
          <w:ilvl w:val="0"/>
          <w:numId w:val="1"/>
        </w:numPr>
        <w:spacing w:after="0"/>
        <w:jc w:val="left"/>
      </w:pPr>
      <w:r>
        <w:t>Milestone 1d – Day 31-33:  Brief capability demonstration on performer’s system.</w:t>
      </w:r>
    </w:p>
    <w:p w14:paraId="554E1F33" w14:textId="77777777" w:rsidR="00C736F1" w:rsidRDefault="00D01A26" w:rsidP="00E44EC4">
      <w:pPr>
        <w:pStyle w:val="ListParagraph"/>
        <w:numPr>
          <w:ilvl w:val="0"/>
          <w:numId w:val="1"/>
        </w:numPr>
        <w:spacing w:after="0"/>
        <w:jc w:val="left"/>
      </w:pPr>
      <w:r>
        <w:t>Milestone 1e – Day 36:  Notification of Invitation to collaborate on Statement of Work (SOW).  A period of two weeks is allowed to conclude SOW collaboration.</w:t>
      </w:r>
    </w:p>
    <w:p w14:paraId="4E5CB73A" w14:textId="77777777" w:rsidR="00D01A26" w:rsidRDefault="00D01A26" w:rsidP="00E44EC4">
      <w:pPr>
        <w:pStyle w:val="ListParagraph"/>
        <w:numPr>
          <w:ilvl w:val="0"/>
          <w:numId w:val="1"/>
        </w:numPr>
        <w:spacing w:after="0"/>
        <w:jc w:val="left"/>
      </w:pPr>
      <w:r>
        <w:t xml:space="preserve">Milestone 1f – Day 50:  Acceptance by the government of the SOW will be based on terms as well as successful demonstration of capability and likelihood of passing cyber security, Responsible AI and platform integration requirements.  </w:t>
      </w:r>
    </w:p>
    <w:p w14:paraId="3CE4374C" w14:textId="77777777" w:rsidR="00D01A26" w:rsidRDefault="00D01A26" w:rsidP="00E44EC4">
      <w:pPr>
        <w:spacing w:after="0"/>
        <w:jc w:val="left"/>
      </w:pPr>
    </w:p>
    <w:p w14:paraId="0E95B379" w14:textId="77777777" w:rsidR="00D01A26" w:rsidRDefault="00D01A26" w:rsidP="00E44EC4">
      <w:pPr>
        <w:spacing w:after="0"/>
        <w:jc w:val="left"/>
      </w:pPr>
      <w:r>
        <w:t>Phase 2: Minimum Viable Product – Upgrades and Expansions</w:t>
      </w:r>
    </w:p>
    <w:p w14:paraId="61C618AF" w14:textId="77777777" w:rsidR="00D01A26" w:rsidRDefault="00D01A26" w:rsidP="00E44EC4">
      <w:pPr>
        <w:pStyle w:val="ListParagraph"/>
        <w:numPr>
          <w:ilvl w:val="0"/>
          <w:numId w:val="2"/>
        </w:numPr>
        <w:spacing w:after="0"/>
        <w:jc w:val="left"/>
      </w:pPr>
      <w:r>
        <w:t xml:space="preserve">(Potential) Milestone 2a – Day 185-Plus:  More detailed MVP Milestones will be provided </w:t>
      </w:r>
      <w:proofErr w:type="gramStart"/>
      <w:r>
        <w:t>at a later date</w:t>
      </w:r>
      <w:proofErr w:type="gramEnd"/>
      <w:r>
        <w:t xml:space="preserve"> after evaluations of the first set of AI tools performance on the platform.  </w:t>
      </w:r>
    </w:p>
    <w:p w14:paraId="66A9E31C" w14:textId="77777777" w:rsidR="00D01A26" w:rsidRDefault="00D01A26" w:rsidP="00E44EC4">
      <w:pPr>
        <w:spacing w:after="0"/>
        <w:jc w:val="left"/>
      </w:pPr>
    </w:p>
    <w:p w14:paraId="56A8659C" w14:textId="4889B9CE" w:rsidR="00634207" w:rsidRDefault="00D01A26" w:rsidP="00E44EC4">
      <w:pPr>
        <w:spacing w:after="0"/>
        <w:jc w:val="left"/>
      </w:pPr>
      <w:r>
        <w:t>Criteria for Phase 1 – Minimum Viable Product – AI Tools</w:t>
      </w:r>
      <w:r>
        <w:cr/>
        <w:t xml:space="preserve">Milestone 1b – The Government estimates that up to ten tool providers could be awarded based on solution paper responses and successful SOW acceptances. The Government will </w:t>
      </w:r>
      <w:proofErr w:type="gramStart"/>
      <w:r>
        <w:t>take into account</w:t>
      </w:r>
      <w:proofErr w:type="gramEnd"/>
      <w:r>
        <w:t xml:space="preserve"> the Desired Objectives outlined above and apply the evaluation criteria detailed below.</w:t>
      </w:r>
      <w:r>
        <w:cr/>
        <w:t xml:space="preserve">Note:  It is expected that not all Tool Providers will meet each of the following criteria.  </w:t>
      </w:r>
      <w:r>
        <w:cr/>
      </w:r>
      <w:r w:rsidR="003E4BF5">
        <w:tab/>
      </w:r>
      <w:r>
        <w:t>1.Experience with matching private sector users to federal government opportunities.</w:t>
      </w:r>
      <w:r>
        <w:cr/>
      </w:r>
      <w:r w:rsidR="003E4BF5">
        <w:tab/>
      </w:r>
      <w:r>
        <w:t>2.</w:t>
      </w:r>
      <w:r w:rsidR="003E4BF5">
        <w:t xml:space="preserve"> </w:t>
      </w:r>
      <w:r>
        <w:t xml:space="preserve">Experience with cutting-edge AI development for queries on behalf of the federal government </w:t>
      </w:r>
      <w:r w:rsidR="003E4BF5">
        <w:tab/>
      </w:r>
      <w:r>
        <w:t xml:space="preserve">or large commercial organizations with relatively large and varied data sources. </w:t>
      </w:r>
      <w:r>
        <w:cr/>
      </w:r>
      <w:r w:rsidR="003E4BF5">
        <w:tab/>
      </w:r>
      <w:r>
        <w:t>3.</w:t>
      </w:r>
      <w:r w:rsidR="003E4BF5">
        <w:t xml:space="preserve"> </w:t>
      </w:r>
      <w:r>
        <w:t xml:space="preserve">Experience in the commercial or government market providing AI tools for high volume </w:t>
      </w:r>
      <w:r w:rsidR="003E4BF5">
        <w:tab/>
      </w:r>
      <w:r>
        <w:t xml:space="preserve">(provide number) of users to fulfill queries or match to commercial opportunities.   </w:t>
      </w:r>
      <w:r>
        <w:cr/>
      </w:r>
      <w:r w:rsidR="003E4BF5">
        <w:tab/>
      </w:r>
      <w:r>
        <w:t xml:space="preserve">4.Experience accessing federal government (public and non-public) and commercial data sources </w:t>
      </w:r>
      <w:r w:rsidR="003E4BF5">
        <w:tab/>
      </w:r>
      <w:r>
        <w:t xml:space="preserve">and services, while complying with DOD regulations and policies.  </w:t>
      </w:r>
      <w:r>
        <w:cr/>
      </w:r>
      <w:r w:rsidR="003E4BF5">
        <w:tab/>
      </w:r>
      <w:r>
        <w:t xml:space="preserve">5.Capability to comply with DOD security, cybersecurity, Responsible AI, privacy and other </w:t>
      </w:r>
      <w:r w:rsidR="003E4BF5">
        <w:tab/>
      </w:r>
      <w:r>
        <w:t xml:space="preserve">applicable policies and regulations.  </w:t>
      </w:r>
      <w:r>
        <w:cr/>
      </w:r>
      <w:r w:rsidR="003E4BF5">
        <w:tab/>
      </w:r>
      <w:r>
        <w:t xml:space="preserve">6.Capability to apply AI tools that interact with both internally and externally hosted data </w:t>
      </w:r>
      <w:r w:rsidR="003E4BF5">
        <w:tab/>
      </w:r>
      <w:r>
        <w:t xml:space="preserve">sets/services, tools, and/or platform(s). For clarity, AI tool providers should not assume their </w:t>
      </w:r>
      <w:r w:rsidR="003E4BF5">
        <w:tab/>
      </w:r>
      <w:r>
        <w:t xml:space="preserve">internally trained datasets are completely appropriate for addressing private sector and </w:t>
      </w:r>
      <w:r w:rsidR="003E4BF5">
        <w:tab/>
      </w:r>
      <w:r>
        <w:t xml:space="preserve">government user queries.   </w:t>
      </w:r>
      <w:r>
        <w:cr/>
      </w:r>
      <w:r>
        <w:cr/>
        <w:t>Milestone 1c-d:  Brief Capability Demonstration.  The government will provide a handful of queries or other appropriate test parameters for the applicant to perform in real-time during a virtual demonstration on their system. A short discussion period will be allowed.  Total allotted time for each demonstration and discussion will be no more than 30 minutes.  Criteria for grading the Capability Demonstration:</w:t>
      </w:r>
      <w:r>
        <w:tab/>
      </w:r>
      <w:r>
        <w:cr/>
      </w:r>
      <w:r w:rsidR="003E4BF5">
        <w:tab/>
      </w:r>
      <w:r>
        <w:t xml:space="preserve">1. Private sector matches to DOD opportunities such as a relevant Broad Agency Announcement (BAA), Small Business Innovation Research (SBIR), Research and Development (R&amp;D) contract, Request for Proposal (RFP), Other Transactions (OT), Commercial Solutions Opening (CSO), FOA, Challenge, etc., will be graded relative to the matches provided by competing tools.  The matches will be expected to provide a link to at least one or more relevant online training aids (more is not necessarily better) such as videos, manuals, and exemplars/models of good responses.  Additionally, based on the physical address provided by the user profile (within a user persona), it is expected that the match will provide contact information for DOD and US Government organizations prioritized within one hundred </w:t>
      </w:r>
      <w:r>
        <w:lastRenderedPageBreak/>
        <w:t xml:space="preserve">(100) miles which can assist the user, e.g. Office of Small Business Programs (OSBP) APEX Accelerator, Defense Innovation Community of Entities offices (Airforce Work Project (AFWERX), Naval X, Defense Innovation Unit (DIU), Army Application Laboratory (AAL), National Security Innovation Network (NSIN), etc.), Defense Innovation </w:t>
      </w:r>
      <w:proofErr w:type="spellStart"/>
      <w:r>
        <w:t>OnRamp</w:t>
      </w:r>
      <w:proofErr w:type="spellEnd"/>
      <w:r>
        <w:t xml:space="preserve"> Hub, Small Business Administration, or a Small Business office on a local military base.  An example of a private sector match request would be: “An </w:t>
      </w:r>
      <w:proofErr w:type="gramStart"/>
      <w:r>
        <w:t>early stage</w:t>
      </w:r>
      <w:proofErr w:type="gramEnd"/>
      <w:r>
        <w:t xml:space="preserve"> start-up has developed a small drone (quadcopter 12 inches wide) that can achieve and maintain high speeds of 250 kph.  The product has a TRL level of 5 and an MRL of 4.”  </w:t>
      </w:r>
      <w:r>
        <w:cr/>
      </w:r>
      <w:r w:rsidR="003E4BF5">
        <w:tab/>
      </w:r>
      <w:r>
        <w:t>2.The DOD user queries will be graded relative to responses from competitive tools according to: 1) Accuracy, 2) Attribution and 3) Recognition of the persona based on their profile and previous queries.  An example of a DOD member query would be: “An anti-corrosion expert from an Army Program Management office is searching for an anti-corrosion coating that can be applied in the field to steel, protects from salt water and can withstand temperatures of -30 F to 140 F.”</w:t>
      </w:r>
      <w:r>
        <w:cr/>
      </w:r>
      <w:r>
        <w:cr/>
        <w:t>All applicants must successfully submit their DD2345 in the Defense Logistics Agency's Joint Certification Program Operations Support Solution External Portal (JCP).  The JCP user manuals are attached to this RFS.  If applicants have questions about the process, please email the JCP general mailbox at: jcp-admin@dla.mil as needed.</w:t>
      </w:r>
      <w:r>
        <w:cr/>
      </w:r>
    </w:p>
    <w:p w14:paraId="154F0657" w14:textId="77777777" w:rsidR="00634207" w:rsidRDefault="00D01A26" w:rsidP="00E44EC4">
      <w:pPr>
        <w:jc w:val="left"/>
      </w:pPr>
      <w:r>
        <w:rPr>
          <w:rStyle w:val="DataIntroduction"/>
        </w:rPr>
        <w:t xml:space="preserve">Follow-On Production: </w:t>
      </w:r>
      <w:r>
        <w:t>Yes</w:t>
      </w:r>
    </w:p>
    <w:p w14:paraId="13B2E3F7" w14:textId="77777777" w:rsidR="00634207" w:rsidRDefault="00D01A26" w:rsidP="00E44EC4">
      <w:pPr>
        <w:jc w:val="left"/>
      </w:pPr>
      <w:r>
        <w:t xml:space="preserve">The government plans to execute follow-on production agreement(s) or production contract(s) when successful completion is reached in the prototype agreement(s).  </w:t>
      </w:r>
    </w:p>
    <w:p w14:paraId="50E04296" w14:textId="77777777" w:rsidR="00634207" w:rsidRDefault="00D01A26" w:rsidP="00E44EC4">
      <w:pPr>
        <w:jc w:val="left"/>
      </w:pPr>
      <w:r>
        <w:rPr>
          <w:rStyle w:val="DataIntroduction"/>
        </w:rPr>
        <w:t xml:space="preserve">Anticipated Security Level of the Prototype Project: </w:t>
      </w:r>
      <w:r>
        <w:t>Unclassified</w:t>
      </w:r>
    </w:p>
    <w:p w14:paraId="466755C0" w14:textId="77777777" w:rsidR="00634207" w:rsidRDefault="00D01A26" w:rsidP="00E44EC4">
      <w:pPr>
        <w:jc w:val="left"/>
      </w:pPr>
      <w:r>
        <w:rPr>
          <w:rStyle w:val="DataIntroduction"/>
        </w:rPr>
        <w:t xml:space="preserve">Anticipated Funding: </w:t>
      </w:r>
      <w:r w:rsidR="003E4BF5">
        <w:rPr>
          <w:rStyle w:val="DataIntroduction"/>
        </w:rPr>
        <w:t>$</w:t>
      </w:r>
      <w:r>
        <w:t>700</w:t>
      </w:r>
      <w:r w:rsidR="003E4BF5">
        <w:t>,</w:t>
      </w:r>
      <w:r>
        <w:t>000</w:t>
      </w:r>
    </w:p>
    <w:p w14:paraId="055177C0" w14:textId="77777777" w:rsidR="00634207" w:rsidRDefault="00D01A26" w:rsidP="00E44EC4">
      <w:pPr>
        <w:jc w:val="left"/>
      </w:pPr>
      <w:r>
        <w:rPr>
          <w:rStyle w:val="DataIntroduction"/>
        </w:rPr>
        <w:t xml:space="preserve">Certainty of Funding: </w:t>
      </w:r>
      <w:r>
        <w:t>Sponsor has committed funding.</w:t>
      </w:r>
    </w:p>
    <w:p w14:paraId="216BC1CA" w14:textId="77777777" w:rsidR="00634207" w:rsidRDefault="00D01A26" w:rsidP="00E44EC4">
      <w:pPr>
        <w:jc w:val="left"/>
      </w:pPr>
      <w:r>
        <w:rPr>
          <w:rStyle w:val="DataIntroduction"/>
        </w:rPr>
        <w:t xml:space="preserve">Period of Performance: </w:t>
      </w:r>
      <w:r>
        <w:t>12 months</w:t>
      </w:r>
    </w:p>
    <w:p w14:paraId="3DF62F56" w14:textId="77777777" w:rsidR="00634207" w:rsidRDefault="00D01A26" w:rsidP="00E44EC4">
      <w:pPr>
        <w:jc w:val="left"/>
      </w:pPr>
      <w:r>
        <w:rPr>
          <w:rStyle w:val="DataIntroduction"/>
        </w:rPr>
        <w:t>Anticipated Data Rights</w:t>
      </w:r>
    </w:p>
    <w:p w14:paraId="2882BEA0" w14:textId="77777777" w:rsidR="00634207" w:rsidRDefault="00D01A26" w:rsidP="00E44EC4">
      <w:pPr>
        <w:jc w:val="left"/>
      </w:pPr>
      <w:r>
        <w:t>Unlimited</w:t>
      </w:r>
    </w:p>
    <w:p w14:paraId="3AD7C56F" w14:textId="77777777" w:rsidR="00634207" w:rsidRDefault="00D01A26" w:rsidP="00E44EC4">
      <w:pPr>
        <w:jc w:val="left"/>
      </w:pPr>
      <w:r>
        <w:rPr>
          <w:rStyle w:val="DataIntroduction"/>
        </w:rPr>
        <w:t xml:space="preserve">Technical Liaison: </w:t>
      </w:r>
      <w:r>
        <w:t xml:space="preserve">John Cronin, (202) 235-5335, </w:t>
      </w:r>
      <w:hyperlink r:id="rId11" w:history="1">
        <w:r w:rsidR="00634207">
          <w:rPr>
            <w:rStyle w:val="Hyperlink"/>
          </w:rPr>
          <w:t>John.cronin@gsa.gov</w:t>
        </w:r>
      </w:hyperlink>
    </w:p>
    <w:p w14:paraId="02BE0DD7" w14:textId="77777777" w:rsidR="00634207" w:rsidRDefault="00D01A26" w:rsidP="00E44EC4">
      <w:pPr>
        <w:jc w:val="left"/>
      </w:pPr>
      <w:r>
        <w:rPr>
          <w:rStyle w:val="DataIntroduction"/>
        </w:rPr>
        <w:t xml:space="preserve">Alternate Technical Liaison: </w:t>
      </w:r>
      <w:r>
        <w:t xml:space="preserve">Cheryl Ingstad, (650) 447-4828, </w:t>
      </w:r>
      <w:hyperlink r:id="rId12" w:history="1">
        <w:r w:rsidR="00634207">
          <w:rPr>
            <w:rStyle w:val="Hyperlink"/>
          </w:rPr>
          <w:t>cingstad@diu.mil</w:t>
        </w:r>
      </w:hyperlink>
    </w:p>
    <w:p w14:paraId="5025B4C4" w14:textId="77777777" w:rsidR="00634207" w:rsidRDefault="00D01A26" w:rsidP="00E44EC4">
      <w:pPr>
        <w:jc w:val="left"/>
      </w:pPr>
      <w:r>
        <w:t>______________________________________________________________________________</w:t>
      </w:r>
    </w:p>
    <w:sectPr w:rsidR="00634207" w:rsidSect="00634207">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CEA7" w14:textId="77777777" w:rsidR="00B81E01" w:rsidRDefault="00B81E01">
      <w:r>
        <w:separator/>
      </w:r>
    </w:p>
  </w:endnote>
  <w:endnote w:type="continuationSeparator" w:id="0">
    <w:p w14:paraId="2DA2609C" w14:textId="77777777" w:rsidR="00B81E01" w:rsidRDefault="00B8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7D0" w14:textId="77777777" w:rsidR="00634207" w:rsidRDefault="0063420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D650" w14:textId="77777777" w:rsidR="00634207" w:rsidRDefault="00634207">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02E5" w14:textId="77777777" w:rsidR="00B81E01" w:rsidRDefault="00B81E01">
      <w:r>
        <w:separator/>
      </w:r>
    </w:p>
  </w:footnote>
  <w:footnote w:type="continuationSeparator" w:id="0">
    <w:p w14:paraId="2F90E3AD" w14:textId="77777777" w:rsidR="00B81E01" w:rsidRDefault="00B8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E835" w14:textId="77777777" w:rsidR="00634207" w:rsidRDefault="00634207">
    <w:pPr>
      <w:pStyle w:val="Footer"/>
    </w:pPr>
  </w:p>
  <w:p w14:paraId="2EFC2E5E" w14:textId="77777777" w:rsidR="00634207" w:rsidRDefault="00D01A26">
    <w:pPr>
      <w:pStyle w:val="Header"/>
    </w:pPr>
    <w:r>
      <w:t>Training &amp; Readiness Accelerator (</w:t>
    </w:r>
    <w:proofErr w:type="spellStart"/>
    <w:r>
      <w:t>TReX</w:t>
    </w:r>
    <w:proofErr w:type="spellEnd"/>
    <w:r>
      <w:t xml:space="preserve"> II)</w:t>
    </w:r>
  </w:p>
  <w:p w14:paraId="1B8BA265" w14:textId="77777777" w:rsidR="00634207" w:rsidRDefault="00D01A26">
    <w:pPr>
      <w:pStyle w:val="Header"/>
    </w:pPr>
    <w:r>
      <w:t>Other Transaction Agreement</w:t>
    </w:r>
  </w:p>
  <w:p w14:paraId="56E1B2CA" w14:textId="77777777" w:rsidR="00634207" w:rsidRDefault="00D01A26">
    <w:pPr>
      <w:pStyle w:val="Header"/>
    </w:pPr>
    <w:r>
      <w:t>Statement of Need (SON)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C68B" w14:textId="77777777" w:rsidR="00634207" w:rsidRDefault="00D01A26">
    <w:pPr>
      <w:pStyle w:val="Header"/>
    </w:pPr>
    <w:r>
      <w:t>Training &amp; Readiness Accelerator (</w:t>
    </w:r>
    <w:proofErr w:type="spellStart"/>
    <w:r>
      <w:t>TReX</w:t>
    </w:r>
    <w:proofErr w:type="spellEnd"/>
    <w:r>
      <w:t xml:space="preserve"> II)</w:t>
    </w:r>
  </w:p>
  <w:p w14:paraId="252D71DA" w14:textId="77777777" w:rsidR="00634207" w:rsidRDefault="00D01A26">
    <w:pPr>
      <w:pStyle w:val="Header"/>
    </w:pPr>
    <w:r>
      <w:t>Other Transaction Agreement</w:t>
    </w:r>
  </w:p>
  <w:p w14:paraId="5B758A3E" w14:textId="6A263330" w:rsidR="00634207" w:rsidRDefault="00C22FFF">
    <w:pPr>
      <w:pStyle w:val="Header"/>
    </w:pPr>
    <w:r w:rsidRPr="00C22FFF">
      <w:t>TReXII-25-0</w:t>
    </w:r>
    <w:r>
      <w:t>6</w:t>
    </w:r>
    <w:r w:rsidRPr="00C22FFF">
      <w:t xml:space="preserve"> </w:t>
    </w:r>
    <w:r>
      <w:t>Statement of Need (SON)</w:t>
    </w:r>
  </w:p>
  <w:p w14:paraId="22BD1264" w14:textId="6C05E52D" w:rsidR="00C22FFF" w:rsidRDefault="00C22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DFF"/>
    <w:multiLevelType w:val="hybridMultilevel"/>
    <w:tmpl w:val="C7CA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6F"/>
    <w:multiLevelType w:val="hybridMultilevel"/>
    <w:tmpl w:val="1AB6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533">
    <w:abstractNumId w:val="1"/>
  </w:num>
  <w:num w:numId="2" w16cid:durableId="6071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07"/>
    <w:rsid w:val="0000164C"/>
    <w:rsid w:val="000D7D93"/>
    <w:rsid w:val="001A7DEA"/>
    <w:rsid w:val="002D43D8"/>
    <w:rsid w:val="003E4BF5"/>
    <w:rsid w:val="005B0C01"/>
    <w:rsid w:val="00634207"/>
    <w:rsid w:val="006B4AB0"/>
    <w:rsid w:val="007C591B"/>
    <w:rsid w:val="00824ABD"/>
    <w:rsid w:val="008634BF"/>
    <w:rsid w:val="009B56CB"/>
    <w:rsid w:val="009C14BD"/>
    <w:rsid w:val="00B371D0"/>
    <w:rsid w:val="00B81E01"/>
    <w:rsid w:val="00C22FFF"/>
    <w:rsid w:val="00C23F86"/>
    <w:rsid w:val="00C736F1"/>
    <w:rsid w:val="00D01A26"/>
    <w:rsid w:val="00D23947"/>
    <w:rsid w:val="00D54B07"/>
    <w:rsid w:val="00E078AC"/>
    <w:rsid w:val="00E4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76AEF"/>
  <w15:docId w15:val="{3921C2F9-44CB-46C1-95C1-2E71A9C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C5B42"/>
    <w:pPr>
      <w:spacing w:after="16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aIntroduction">
    <w:name w:val="Data Introduction"/>
    <w:rsid w:val="00634207"/>
    <w:rPr>
      <w:b/>
    </w:rPr>
  </w:style>
  <w:style w:type="paragraph" w:styleId="NoSpacing">
    <w:name w:val="No Spacing"/>
    <w:qFormat/>
    <w:rsid w:val="00EC5B42"/>
    <w:rPr>
      <w:sz w:val="24"/>
      <w:szCs w:val="22"/>
    </w:rPr>
  </w:style>
  <w:style w:type="paragraph" w:customStyle="1" w:styleId="reporttitle">
    <w:name w:val="report title"/>
    <w:basedOn w:val="Normal"/>
    <w:next w:val="Normal"/>
    <w:rsid w:val="00634207"/>
    <w:pPr>
      <w:jc w:val="center"/>
    </w:pPr>
    <w:rPr>
      <w:rFonts w:ascii="Arial Narrow"/>
      <w:color w:val="000000"/>
      <w:sz w:val="48"/>
      <w:szCs w:val="48"/>
    </w:rPr>
  </w:style>
  <w:style w:type="character" w:customStyle="1" w:styleId="ReportTitleChar">
    <w:name w:val="Report Title Char"/>
    <w:rsid w:val="00634207"/>
    <w:rPr>
      <w:rFonts w:ascii="Arial Narrow" w:eastAsia="Arial Narrow" w:hAnsi="Arial Narrow" w:cs="Arial Narrow"/>
      <w:b/>
      <w:kern w:val="28"/>
      <w:sz w:val="24"/>
      <w:szCs w:val="48"/>
    </w:rPr>
  </w:style>
  <w:style w:type="paragraph" w:styleId="Subtitle">
    <w:name w:val="Subtitle"/>
    <w:basedOn w:val="Normal"/>
    <w:next w:val="Normal"/>
    <w:qFormat/>
    <w:rsid w:val="00634207"/>
    <w:pPr>
      <w:jc w:val="center"/>
    </w:pPr>
    <w:rPr>
      <w:rFonts w:ascii="Arial Narrow"/>
      <w:sz w:val="32"/>
      <w:szCs w:val="32"/>
    </w:rPr>
  </w:style>
  <w:style w:type="character" w:customStyle="1" w:styleId="SubtitleChar">
    <w:name w:val="Subtitle Char"/>
    <w:rsid w:val="00634207"/>
    <w:rPr>
      <w:rFonts w:ascii="Arial Narrow"/>
      <w:sz w:val="32"/>
      <w:szCs w:val="32"/>
      <w:lang w:val="en-US" w:eastAsia="en-US" w:bidi="ar-SA"/>
    </w:rPr>
  </w:style>
  <w:style w:type="paragraph" w:customStyle="1" w:styleId="SectionHead">
    <w:name w:val="Section Head"/>
    <w:next w:val="Normal"/>
    <w:rsid w:val="00634207"/>
    <w:pPr>
      <w:outlineLvl w:val="0"/>
    </w:pPr>
    <w:rPr>
      <w:b/>
      <w:color w:val="000000"/>
      <w:sz w:val="32"/>
      <w:szCs w:val="32"/>
      <w:u w:val="single"/>
    </w:rPr>
  </w:style>
  <w:style w:type="paragraph" w:customStyle="1" w:styleId="SectionHead0">
    <w:name w:val="Section Head"/>
    <w:next w:val="Normal"/>
    <w:rsid w:val="00634207"/>
    <w:pPr>
      <w:jc w:val="center"/>
    </w:pPr>
    <w:rPr>
      <w:b/>
      <w:color w:val="000000"/>
      <w:sz w:val="28"/>
      <w:szCs w:val="28"/>
      <w:u w:val="single"/>
    </w:rPr>
  </w:style>
  <w:style w:type="paragraph" w:customStyle="1" w:styleId="SectionHead1">
    <w:name w:val="Section Head"/>
    <w:next w:val="Normal"/>
    <w:rsid w:val="00634207"/>
    <w:rPr>
      <w:b/>
      <w:i/>
      <w:color w:val="000000"/>
      <w:sz w:val="24"/>
      <w:szCs w:val="24"/>
      <w:u w:val="single"/>
    </w:rPr>
  </w:style>
  <w:style w:type="paragraph" w:customStyle="1" w:styleId="SectionHead2">
    <w:name w:val="Section Head"/>
    <w:next w:val="Normal"/>
    <w:rsid w:val="00634207"/>
    <w:pPr>
      <w:spacing w:after="160"/>
      <w:outlineLvl w:val="0"/>
    </w:pPr>
    <w:rPr>
      <w:b/>
      <w:color w:val="000000"/>
      <w:sz w:val="24"/>
      <w:szCs w:val="24"/>
      <w:u w:val="single"/>
    </w:rPr>
  </w:style>
  <w:style w:type="character" w:customStyle="1" w:styleId="SectionHeadChar">
    <w:name w:val="Section Head Char"/>
    <w:rsid w:val="00634207"/>
    <w:rPr>
      <w:rFonts w:ascii="Times New Roman"/>
      <w:b/>
      <w:color w:val="000000"/>
      <w:sz w:val="24"/>
      <w:szCs w:val="24"/>
      <w:lang w:val="en-US" w:eastAsia="en-US" w:bidi="ar-SA"/>
    </w:rPr>
  </w:style>
  <w:style w:type="paragraph" w:customStyle="1" w:styleId="PlaceHolder">
    <w:name w:val="Place Holder"/>
    <w:next w:val="Normal"/>
    <w:rsid w:val="00634207"/>
    <w:rPr>
      <w:color w:val="00B0F0"/>
      <w:sz w:val="24"/>
      <w:szCs w:val="24"/>
    </w:rPr>
  </w:style>
  <w:style w:type="character" w:customStyle="1" w:styleId="PlaceHolderChar">
    <w:name w:val="Place Holder Char"/>
    <w:rsid w:val="00634207"/>
    <w:rPr>
      <w:rFonts w:ascii="Times New Roman"/>
      <w:color w:val="00B0F0"/>
      <w:sz w:val="24"/>
      <w:szCs w:val="24"/>
      <w:lang w:val="en-US" w:eastAsia="en-US" w:bidi="ar-SA"/>
    </w:rPr>
  </w:style>
  <w:style w:type="paragraph" w:customStyle="1" w:styleId="SectionIntro">
    <w:name w:val="Section Intro"/>
    <w:basedOn w:val="Normal"/>
    <w:next w:val="Normal"/>
    <w:rsid w:val="00634207"/>
    <w:pPr>
      <w:outlineLvl w:val="1"/>
    </w:pPr>
    <w:rPr>
      <w:b/>
      <w:color w:val="000000"/>
    </w:rPr>
  </w:style>
  <w:style w:type="character" w:customStyle="1" w:styleId="SectionIntroChar">
    <w:name w:val="Section Intro Char"/>
    <w:rsid w:val="00634207"/>
    <w:rPr>
      <w:rFonts w:ascii="Times New Roman"/>
      <w:b/>
      <w:color w:val="000000"/>
      <w:sz w:val="24"/>
      <w:szCs w:val="24"/>
      <w:lang w:val="en-US" w:eastAsia="en-US" w:bidi="ar-SA"/>
    </w:rPr>
  </w:style>
  <w:style w:type="paragraph" w:customStyle="1" w:styleId="AnnualPlanContents">
    <w:name w:val="Annual Plan Contents"/>
    <w:basedOn w:val="Normal"/>
    <w:next w:val="Normal"/>
    <w:rsid w:val="00634207"/>
    <w:pPr>
      <w:jc w:val="center"/>
    </w:pPr>
    <w:rPr>
      <w:b/>
      <w:color w:val="000000"/>
      <w:sz w:val="24"/>
      <w:szCs w:val="24"/>
    </w:rPr>
  </w:style>
  <w:style w:type="character" w:customStyle="1" w:styleId="AnnualPlanContentsChar">
    <w:name w:val="Annual Plan Contents Char"/>
    <w:rsid w:val="00634207"/>
    <w:rPr>
      <w:rFonts w:ascii="Times New Roman"/>
      <w:b/>
      <w:color w:val="000000"/>
      <w:sz w:val="24"/>
      <w:szCs w:val="24"/>
      <w:lang w:val="en-US" w:eastAsia="en-US" w:bidi="ar-SA"/>
    </w:rPr>
  </w:style>
  <w:style w:type="paragraph" w:customStyle="1" w:styleId="TitleDate">
    <w:name w:val="Title Date"/>
    <w:basedOn w:val="Normal"/>
    <w:next w:val="Normal"/>
    <w:rsid w:val="00634207"/>
    <w:pPr>
      <w:jc w:val="center"/>
    </w:pPr>
    <w:rPr>
      <w:b/>
      <w:color w:val="000000"/>
      <w:sz w:val="32"/>
      <w:szCs w:val="32"/>
    </w:rPr>
  </w:style>
  <w:style w:type="paragraph" w:customStyle="1" w:styleId="DraftNotice">
    <w:name w:val="Draft Notice"/>
    <w:basedOn w:val="Normal"/>
    <w:rsid w:val="00634207"/>
    <w:pPr>
      <w:jc w:val="center"/>
    </w:pPr>
    <w:rPr>
      <w:color w:val="FF0000"/>
      <w:sz w:val="48"/>
      <w:szCs w:val="48"/>
    </w:rPr>
  </w:style>
  <w:style w:type="character" w:customStyle="1" w:styleId="DraftNoticeChar">
    <w:name w:val="Draft Notice Char"/>
    <w:rsid w:val="00634207"/>
    <w:rPr>
      <w:rFonts w:ascii="Times New Roman"/>
      <w:color w:val="FF0000"/>
      <w:sz w:val="48"/>
      <w:szCs w:val="48"/>
      <w:lang w:val="en-US" w:eastAsia="en-US" w:bidi="ar-SA"/>
    </w:rPr>
  </w:style>
  <w:style w:type="paragraph" w:styleId="Header">
    <w:name w:val="header"/>
    <w:basedOn w:val="Normal"/>
    <w:link w:val="HeaderChar"/>
    <w:rsid w:val="00634207"/>
    <w:pPr>
      <w:tabs>
        <w:tab w:val="center" w:pos="4680"/>
        <w:tab w:val="right" w:pos="9360"/>
      </w:tabs>
      <w:spacing w:after="0"/>
      <w:jc w:val="center"/>
    </w:pPr>
    <w:rPr>
      <w:b/>
    </w:rPr>
  </w:style>
  <w:style w:type="character" w:customStyle="1" w:styleId="HeaderChar">
    <w:name w:val="Header Char"/>
    <w:basedOn w:val="DefaultParagraphFont"/>
    <w:link w:val="Header"/>
    <w:rsid w:val="00634207"/>
  </w:style>
  <w:style w:type="paragraph" w:styleId="Footer">
    <w:name w:val="footer"/>
    <w:basedOn w:val="Normal"/>
    <w:link w:val="FooterChar"/>
    <w:rsid w:val="00634207"/>
    <w:pPr>
      <w:tabs>
        <w:tab w:val="center" w:pos="4680"/>
        <w:tab w:val="right" w:pos="9360"/>
      </w:tabs>
      <w:spacing w:line="276" w:lineRule="auto"/>
      <w:jc w:val="center"/>
    </w:pPr>
    <w:rPr>
      <w:sz w:val="18"/>
    </w:rPr>
  </w:style>
  <w:style w:type="character" w:customStyle="1" w:styleId="FooterChar">
    <w:name w:val="Footer Char"/>
    <w:link w:val="Footer"/>
    <w:rsid w:val="00634207"/>
    <w:rPr>
      <w:rFonts w:ascii="Times New Roman" w:eastAsia="Times New Roman" w:hAnsi="Times New Roman" w:cs="Times New Roman"/>
    </w:rPr>
  </w:style>
  <w:style w:type="paragraph" w:styleId="BodyText">
    <w:name w:val="Body Text"/>
    <w:basedOn w:val="Normal"/>
    <w:link w:val="BodyTextChar"/>
    <w:rsid w:val="00CD69B0"/>
    <w:rPr>
      <w:sz w:val="24"/>
      <w:szCs w:val="24"/>
    </w:rPr>
  </w:style>
  <w:style w:type="character" w:customStyle="1" w:styleId="BodyTextChar">
    <w:name w:val="Body Text Char"/>
    <w:link w:val="BodyText"/>
    <w:rsid w:val="00CD69B0"/>
    <w:rPr>
      <w:rFonts w:ascii="Times New Roman" w:eastAsia="Times New Roman" w:hAnsi="Times New Roman" w:cs="Times New Roman"/>
      <w:szCs w:val="24"/>
    </w:rPr>
  </w:style>
  <w:style w:type="paragraph" w:customStyle="1" w:styleId="TableHeader">
    <w:name w:val="Table Header"/>
    <w:basedOn w:val="Normal"/>
    <w:link w:val="TableHeaderChar"/>
    <w:rsid w:val="00AE28B7"/>
    <w:pPr>
      <w:jc w:val="center"/>
    </w:pPr>
    <w:rPr>
      <w:b/>
      <w:bCs/>
      <w:sz w:val="20"/>
      <w:szCs w:val="20"/>
    </w:rPr>
  </w:style>
  <w:style w:type="character" w:customStyle="1" w:styleId="TableHeaderChar">
    <w:name w:val="Table Header Char"/>
    <w:link w:val="TableHeader"/>
    <w:rsid w:val="00AE28B7"/>
    <w:rPr>
      <w:rFonts w:ascii="Times New Roman" w:hAnsi="Times New Roman" w:cs="Times New Roman"/>
      <w:b/>
      <w:bCs/>
      <w:sz w:val="20"/>
      <w:szCs w:val="20"/>
    </w:rPr>
  </w:style>
  <w:style w:type="paragraph" w:customStyle="1" w:styleId="TableSubhead">
    <w:name w:val="Table Subhead"/>
    <w:basedOn w:val="Normal"/>
    <w:rsid w:val="00634207"/>
    <w:pPr>
      <w:jc w:val="center"/>
    </w:pPr>
    <w:rPr>
      <w:sz w:val="20"/>
      <w:szCs w:val="20"/>
    </w:rPr>
  </w:style>
  <w:style w:type="character" w:customStyle="1" w:styleId="TableSubheadChar">
    <w:name w:val="Table Subhead Char"/>
    <w:rsid w:val="00634207"/>
    <w:rPr>
      <w:rFonts w:ascii="Times New Roman" w:hAnsi="Times New Roman" w:cs="Times New Roman"/>
      <w:sz w:val="20"/>
      <w:szCs w:val="20"/>
    </w:rPr>
  </w:style>
  <w:style w:type="paragraph" w:customStyle="1" w:styleId="TableData">
    <w:name w:val="Table Data"/>
    <w:basedOn w:val="Normal"/>
    <w:link w:val="TableDataChar"/>
    <w:rsid w:val="00634207"/>
    <w:pPr>
      <w:jc w:val="right"/>
    </w:pPr>
    <w:rPr>
      <w:sz w:val="20"/>
      <w:szCs w:val="20"/>
    </w:rPr>
  </w:style>
  <w:style w:type="character" w:customStyle="1" w:styleId="TableDataChar">
    <w:name w:val="Table Data Char"/>
    <w:link w:val="TableData"/>
    <w:rsid w:val="00634207"/>
    <w:rPr>
      <w:rFonts w:ascii="Times New Roman" w:hAnsi="Times New Roman" w:cs="Times New Roman"/>
      <w:sz w:val="20"/>
      <w:szCs w:val="20"/>
    </w:rPr>
  </w:style>
  <w:style w:type="paragraph" w:customStyle="1" w:styleId="TableText">
    <w:name w:val="Table Text"/>
    <w:basedOn w:val="Normal"/>
    <w:rsid w:val="00634207"/>
    <w:pPr>
      <w:jc w:val="left"/>
    </w:pPr>
    <w:rPr>
      <w:sz w:val="24"/>
      <w:szCs w:val="24"/>
    </w:rPr>
  </w:style>
  <w:style w:type="character" w:customStyle="1" w:styleId="TableTextChar">
    <w:name w:val="Table Text Char"/>
    <w:rsid w:val="00634207"/>
    <w:rPr>
      <w:rFonts w:ascii="Times New Roman" w:hAnsi="Times New Roman" w:cs="Times New Roman"/>
      <w:sz w:val="24"/>
      <w:szCs w:val="24"/>
    </w:rPr>
  </w:style>
  <w:style w:type="character" w:styleId="Hyperlink">
    <w:name w:val="Hyperlink"/>
    <w:rsid w:val="00634207"/>
    <w:rPr>
      <w:color w:val="0000FF"/>
      <w:u w:val="single"/>
    </w:rPr>
  </w:style>
  <w:style w:type="character" w:customStyle="1" w:styleId="LineBreak">
    <w:name w:val="LineBreak"/>
    <w:rsid w:val="00634207"/>
    <w:rPr>
      <w:u w:val="thick"/>
    </w:rPr>
  </w:style>
  <w:style w:type="paragraph" w:styleId="ListParagraph">
    <w:name w:val="List Paragraph"/>
    <w:basedOn w:val="Normal"/>
    <w:qFormat/>
    <w:rsid w:val="00C7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ngstad@diu.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cronin@gs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f82ecbd-a39c-43aa-8b3d-43b91785888a">P6FZYAECYUVC-2108354964-30275</_dlc_DocId>
    <_dlc_DocIdUrl xmlns="af82ecbd-a39c-43aa-8b3d-43b91785888a">
      <Url>https://aticloud.sharepoint.us/sites/ATD/_layouts/15/DocIdRedir.aspx?ID=P6FZYAECYUVC-2108354964-30275</Url>
      <Description>P6FZYAECYUVC-2108354964-30275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2A05D694D5CB44A761B4B2795E9272" ma:contentTypeVersion="9" ma:contentTypeDescription="Create a new document." ma:contentTypeScope="" ma:versionID="e8fcb349c53a19e40d7fcf9147c581ac">
  <xsd:schema xmlns:xsd="http://www.w3.org/2001/XMLSchema" xmlns:xs="http://www.w3.org/2001/XMLSchema" xmlns:p="http://schemas.microsoft.com/office/2006/metadata/properties" xmlns:ns2="af82ecbd-a39c-43aa-8b3d-43b91785888a" xmlns:ns3="cc1ef217-a7aa-43a0-9af8-d3f398f6a13e" targetNamespace="http://schemas.microsoft.com/office/2006/metadata/properties" ma:root="true" ma:fieldsID="a4bd0b60b889552e0304fd15f72ffd52" ns2:_="" ns3:_="">
    <xsd:import namespace="af82ecbd-a39c-43aa-8b3d-43b91785888a"/>
    <xsd:import namespace="cc1ef217-a7aa-43a0-9af8-d3f398f6a13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ef217-a7aa-43a0-9af8-d3f398f6a13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07631-FE65-4197-AF51-3AF0E24E99A5}">
  <ds:schemaRefs>
    <ds:schemaRef ds:uri="http://schemas.microsoft.com/sharepoint/events"/>
  </ds:schemaRefs>
</ds:datastoreItem>
</file>

<file path=customXml/itemProps2.xml><?xml version="1.0" encoding="utf-8"?>
<ds:datastoreItem xmlns:ds="http://schemas.openxmlformats.org/officeDocument/2006/customXml" ds:itemID="{61EB2E8B-A5DF-4043-A573-B33056947F7A}">
  <ds:schemaRefs>
    <ds:schemaRef ds:uri="http://schemas.microsoft.com/sharepoint/v3/contenttype/forms"/>
  </ds:schemaRefs>
</ds:datastoreItem>
</file>

<file path=customXml/itemProps3.xml><?xml version="1.0" encoding="utf-8"?>
<ds:datastoreItem xmlns:ds="http://schemas.openxmlformats.org/officeDocument/2006/customXml" ds:itemID="{BFAEECD0-F91F-4F4A-B3D0-E612AE92B676}">
  <ds:schemaRefs>
    <ds:schemaRef ds:uri="af82ecbd-a39c-43aa-8b3d-43b91785888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c1ef217-a7aa-43a0-9af8-d3f398f6a13e"/>
    <ds:schemaRef ds:uri="http://www.w3.org/XML/1998/namespace"/>
  </ds:schemaRefs>
</ds:datastoreItem>
</file>

<file path=customXml/itemProps4.xml><?xml version="1.0" encoding="utf-8"?>
<ds:datastoreItem xmlns:ds="http://schemas.openxmlformats.org/officeDocument/2006/customXml" ds:itemID="{F46959D0-E719-41C6-B5A6-BE6E9F7C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cc1ef217-a7aa-43a0-9af8-d3f398f6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2785</Words>
  <Characters>17425</Characters>
  <Application>Microsoft Office Word</Application>
  <DocSecurity>0</DocSecurity>
  <Lines>269</Lines>
  <Paragraphs>37</Paragraphs>
  <ScaleCrop>false</ScaleCrop>
  <HeadingPairs>
    <vt:vector size="2" baseType="variant">
      <vt:variant>
        <vt:lpstr>Title</vt:lpstr>
      </vt:variant>
      <vt:variant>
        <vt:i4>1</vt:i4>
      </vt:variant>
    </vt:vector>
  </HeadingPairs>
  <TitlesOfParts>
    <vt:vector size="1" baseType="lpstr">
      <vt:lpstr>RPP</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dc:title>
  <dc:subject/>
  <dc:creator>Scarpa, Kaitlin</dc:creator>
  <cp:keywords/>
  <dc:description/>
  <cp:lastModifiedBy>Clark, Chris</cp:lastModifiedBy>
  <cp:revision>5</cp:revision>
  <dcterms:created xsi:type="dcterms:W3CDTF">2025-06-17T13:39:00Z</dcterms:created>
  <dcterms:modified xsi:type="dcterms:W3CDTF">2025-06-17T14:55:00Z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0x010100152A05D694D5CB44A761B4B2795E9272</vt:lpwstr>
  </property>
  <property fmtid="{D5CDD505-2E9C-101B-9397-08002B2CF9AE}" pid="3" name="_dlc_DocIdItemGuid">
    <vt:lpwstr>268bbacd-150d-4304-b78d-ac1d1d8a5905</vt:lpwstr>
  </property>
</Properties>
</file>